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年度政府信息公开工作报告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，本单位深入贯彻落实《中华人民共和国政府信息公开条例》及国家、省、市关于政务公开工作的决策部署，坚持以人民为中心，紧扣中心工作和民生需求，扎实推进主动公开、依申请公开、平台建设等重点任务，持续提升政务公开标准化、规范化水平，为提升治理效能、优化营商环境提供了有力支撑。现对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年度政府信息公开工作情况进行了全面总结，对明年工作安排进行了认真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计划及安排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。报告中所列数据统计期限为2025年1月1日至2025年12月31日。</w:t>
      </w:r>
    </w:p>
    <w:p>
      <w:pPr>
        <w:spacing w:line="6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现将有关情况报告公布如下：</w:t>
      </w:r>
    </w:p>
    <w:p>
      <w:pPr>
        <w:spacing w:line="600" w:lineRule="exact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一、总体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概</w:t>
      </w:r>
      <w:r>
        <w:rPr>
          <w:rFonts w:hint="eastAsia" w:ascii="宋体" w:hAnsi="宋体" w:eastAsia="宋体" w:cs="宋体"/>
          <w:b/>
          <w:sz w:val="24"/>
          <w:szCs w:val="24"/>
        </w:rPr>
        <w:t>况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本单位</w:t>
      </w:r>
      <w:r>
        <w:rPr>
          <w:rFonts w:hint="eastAsia" w:ascii="宋体" w:hAnsi="宋体" w:eastAsia="宋体" w:cs="宋体"/>
          <w:sz w:val="24"/>
          <w:szCs w:val="24"/>
        </w:rPr>
        <w:t>深入贯彻落实《条例》及上级关于政府信息公开工作的决策部署，坚持以公开为常态、不公开为例外，围绕中心工作和群众关切，扎实推进政府信息公开各项工作，不断提升公开质量和实效。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组织推动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本单位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政府信息公开工作：</w:t>
      </w:r>
      <w:r>
        <w:rPr>
          <w:rFonts w:hint="eastAsia" w:ascii="宋体" w:hAnsi="宋体" w:eastAsia="宋体" w:cs="宋体"/>
          <w:sz w:val="24"/>
          <w:szCs w:val="24"/>
        </w:rPr>
        <w:t>健全工作机制，成立以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</w:t>
      </w:r>
      <w:r>
        <w:rPr>
          <w:rFonts w:hint="eastAsia" w:ascii="宋体" w:hAnsi="宋体" w:eastAsia="宋体" w:cs="宋体"/>
          <w:sz w:val="24"/>
          <w:szCs w:val="24"/>
        </w:rPr>
        <w:t>领导为组长的政府信息公开工作领导小组，定期召开专题会议研究部署工作，明确各部门职责分工，形成齐抓共管的工作格局。全年组织开展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多次</w:t>
      </w:r>
      <w:r>
        <w:rPr>
          <w:rFonts w:hint="eastAsia" w:ascii="宋体" w:hAnsi="宋体" w:eastAsia="宋体" w:cs="宋体"/>
          <w:sz w:val="24"/>
          <w:szCs w:val="24"/>
        </w:rPr>
        <w:t>业务培训，提升工作人员专业能力。确保政府信息公开全面、准确、及时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全面梳理政府信息，涵盖政策法规、行政决策、优化政务公开平台，确保信息发布及时、便捷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确保公开工作落实到位。</w:t>
      </w:r>
    </w:p>
    <w:p>
      <w:pPr>
        <w:spacing w:line="600" w:lineRule="exact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）积极推动政府信息主动公开：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聚焦重点领域（如财政预决算、重大项目建设、民生保障等），优化公开渠道，通过政府门户网站、政务新媒体、政务服务大厅等平台，及时、准确发布各类政府信息。</w:t>
      </w:r>
      <w:r>
        <w:rPr>
          <w:rFonts w:hint="eastAsia" w:ascii="宋体" w:hAnsi="宋体" w:eastAsia="宋体" w:cs="宋体"/>
          <w:sz w:val="24"/>
          <w:szCs w:val="24"/>
        </w:rPr>
        <w:t>搭建政务公开平台，优化网站功能，实现信息及时更新。通过线上线下渠道，积极引导公众参与政务公开。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 认真规范处理依申请公开：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建立健全依申请公开受理、审查、办理、答复全流程工作规范，优化办理流程，提升答复效率和质量。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 不断强化政府信息公开平台内容保障：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对政府门户网站信息公开专栏进行优化升级，完善栏目设置，提升平台易用性和检索功能；加强政务新媒体运营管理，确保发布信息权威、及时、规范加强人员培训，提升业务能力。强化技术支撑，确保平台稳定运行。完善信息公开制度，确保工作有章可循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 全力做好宣传培训评估考核等基础工作：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通过线上线下相结合的方式，开展政府信息公开宣传活动，提升群众对政府信息公开工作的知晓度和参与度；</w:t>
      </w:r>
      <w:r>
        <w:rPr>
          <w:rFonts w:hint="eastAsia" w:ascii="宋体" w:hAnsi="宋体" w:eastAsia="宋体" w:cs="宋体"/>
          <w:sz w:val="24"/>
          <w:szCs w:val="24"/>
        </w:rPr>
        <w:t>制定政务公开工作方案，明确工作目标和任务。建立健全政务公开工作制度，明确责任分工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,定期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对各部门工作开展情况进行定期督查和评估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spacing w:line="60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年政务公开实际情况如下：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区农业农村局认真贯彻落实《中华人民共和国政府信息公开条例》和政府统一部署，认真学习政府信息公开条例，落实政府信息公开制度，扎实做好政务信息公开工作，切实保障人民群众的知情权、参与权、监督权和表达权，严格遵守政府信息公开发布审核制度，上传的文件由领导严格把关，审核通过后方可发布，确保了信息公开的合法性、准确性、及时性。截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2025年12月31日</w:t>
      </w:r>
      <w:r>
        <w:rPr>
          <w:rFonts w:hint="eastAsia" w:ascii="宋体" w:hAnsi="宋体" w:eastAsia="宋体" w:cs="宋体"/>
          <w:sz w:val="24"/>
          <w:szCs w:val="24"/>
        </w:rPr>
        <w:t>，主动公开信息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个，其中，公示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告1</w:t>
      </w:r>
      <w:r>
        <w:rPr>
          <w:rFonts w:hint="eastAsia" w:ascii="宋体" w:hAnsi="宋体" w:eastAsia="宋体" w:cs="宋体"/>
          <w:sz w:val="24"/>
          <w:szCs w:val="24"/>
        </w:rPr>
        <w:t>个.</w:t>
      </w:r>
    </w:p>
    <w:p>
      <w:pPr>
        <w:pStyle w:val="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495925" cy="2649220"/>
            <wp:effectExtent l="0" t="0" r="9525" b="558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2025年政务公开工作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（一）存在的主要问题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公开内容深度不足：部分领域信息公开不够细化，重点领域信息公开的针对性和实效性有待提升，对群众关心的热点难点问题回应不够及时全面。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公开渠道建设不均衡：政务新媒体运营水平参差不齐，部分平台互动性不足，线下查阅点的服务能力和覆盖面有待拓展。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工作人员能力有待提升：部分工作人员对《条例》理解不够深入，业务操作不够规范，依申请公开办理效率和答复质量仍有提升空间。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（二）改进措施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深化公开内容：聚焦群众关切和重点工作，进一步细化重点领域信息公开目录，推动财政资金、公共资源配置、聚焦民生保障、社会公益事业等领域信息公开更具体、更深入；细化公开内容，推动政策落地效果公开，补齐基层公开短板。建立热点问题快速回应机制，及时发布权威信息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优化公开渠道：加强政务新媒体矩阵建设，统一运营标准，提升内容原创性和互动性；完善线下查阅点设施配备，扩大查阅点覆盖范围，为群众提供更便捷的信息查阅服务。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解读《条例》及相关政策，提升工作人员的业务素养和实操能力；建立依申请公开办理质量评查机制，定期对答复文书进行审核，规范办理流程。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优化平台服务：升级公开平台检索功能，拓展新媒体互动渠道，完善依申请公开数字化管理，提升公众获取信息的便捷度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 无其他需要特殊报告的事项。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5ECA"/>
    <w:multiLevelType w:val="singleLevel"/>
    <w:tmpl w:val="4AB05EC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DB00943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520663D"/>
    <w:rsid w:val="36047058"/>
    <w:rsid w:val="393E5745"/>
    <w:rsid w:val="3B291E3A"/>
    <w:rsid w:val="3B2A773A"/>
    <w:rsid w:val="3BA453BA"/>
    <w:rsid w:val="3E620C74"/>
    <w:rsid w:val="3ED76D58"/>
    <w:rsid w:val="400E44FB"/>
    <w:rsid w:val="447A2C0A"/>
    <w:rsid w:val="450C3AC5"/>
    <w:rsid w:val="49181DCF"/>
    <w:rsid w:val="49B52886"/>
    <w:rsid w:val="4A02676F"/>
    <w:rsid w:val="4BCC7E94"/>
    <w:rsid w:val="51D907C9"/>
    <w:rsid w:val="524F43BC"/>
    <w:rsid w:val="56B07488"/>
    <w:rsid w:val="5F4961A1"/>
    <w:rsid w:val="608B5AEC"/>
    <w:rsid w:val="61382CF4"/>
    <w:rsid w:val="657F1CFC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Users\Desktop\&#20020;&#26102;\&#20154;&#2159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1" i="0" u="none" strike="noStrike" kern="1200" spc="0" baseline="0">
                <a:solidFill>
                  <a:srgbClr val="F2F2F2">
                    <a:lumMod val="9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800">
                <a:solidFill>
                  <a:srgbClr val="31859C">
                    <a:lumMod val="75000"/>
                  </a:srgbClr>
                </a:solidFill>
                <a:uFillTx/>
                <a:latin typeface="楷体_GB2312" panose="02010609030101010101" charset="-122"/>
                <a:ea typeface="楷体_GB2312" panose="02010609030101010101" charset="-122"/>
              </a:rPr>
              <a:t>2025</a:t>
            </a:r>
            <a:r>
              <a:rPr altLang="en-US" sz="1800">
                <a:solidFill>
                  <a:srgbClr val="31859C">
                    <a:lumMod val="75000"/>
                  </a:srgbClr>
                </a:solidFill>
                <a:uFillTx/>
                <a:latin typeface="楷体_GB2312" panose="02010609030101010101" charset="-122"/>
                <a:ea typeface="楷体_GB2312" panose="02010609030101010101" charset="-122"/>
              </a:rPr>
              <a:t>年政府信息公开情况</a:t>
            </a:r>
            <a:endParaRPr lang="en-US" altLang="en-US" sz="1800">
              <a:solidFill>
                <a:srgbClr val="31859C">
                  <a:lumMod val="75000"/>
                </a:srgbClr>
              </a:solidFill>
              <a:uFillTx/>
              <a:latin typeface="楷体_GB2312" panose="02010609030101010101" charset="-122"/>
              <a:ea typeface="楷体_GB2312" panose="02010609030101010101" charset="-122"/>
            </a:endParaRPr>
          </a:p>
        </c:rich>
      </c:tx>
      <c:layout>
        <c:manualLayout>
          <c:xMode val="edge"/>
          <c:yMode val="edge"/>
          <c:x val="0.221745378393992"/>
          <c:y val="0.008726003490401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FFC000"/>
            </a:solidFill>
            <a:ln w="19050">
              <a:noFill/>
            </a:ln>
            <a:effectLst>
              <a:outerShdw blurRad="38100" dist="50800" dir="2700000" algn="tl" rotWithShape="0">
                <a:prstClr val="black">
                  <a:alpha val="55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FC000"/>
              </a:solidFill>
              <a:ln w="19050">
                <a:noFill/>
              </a:ln>
              <a:effectLst>
                <a:outerShdw blurRad="38100" dist="50800" dir="2700000" algn="tl" rotWithShape="0">
                  <a:prstClr val="black">
                    <a:alpha val="55000"/>
                  </a:prstClr>
                </a:outerShdw>
              </a:effectLst>
            </c:spPr>
          </c:dPt>
          <c:dPt>
            <c:idx val="1"/>
            <c:bubble3D val="0"/>
            <c:explosion val="6"/>
            <c:spPr>
              <a:solidFill>
                <a:srgbClr val="FFC000"/>
              </a:solidFill>
              <a:ln w="19050">
                <a:noFill/>
              </a:ln>
              <a:effectLst>
                <a:outerShdw blurRad="38100" dist="50800" dir="2700000" algn="tl" rotWithShape="0">
                  <a:prstClr val="black">
                    <a:alpha val="5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C0504D">
                  <a:lumMod val="60000"/>
                  <a:lumOff val="40000"/>
                </a:srgbClr>
              </a:solidFill>
              <a:ln w="19050">
                <a:noFill/>
              </a:ln>
              <a:effectLst>
                <a:outerShdw blurRad="38100" dist="50800" dir="2700000" algn="tl" rotWithShape="0">
                  <a:prstClr val="black">
                    <a:alpha val="5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F2F2F2">
                        <a:lumMod val="9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'[人员.xls]水库移民 (2)'!$E$7:$E$9</c:f>
              <c:strCache>
                <c:ptCount val="3"/>
                <c:pt idx="0">
                  <c:v>2025年政府信息公开情况</c:v>
                </c:pt>
                <c:pt idx="1">
                  <c:v>公示</c:v>
                </c:pt>
                <c:pt idx="2">
                  <c:v>通告</c:v>
                </c:pt>
              </c:strCache>
            </c:strRef>
          </c:cat>
          <c:val>
            <c:numRef>
              <c:f>'[人员.xls]水库移民 (2)'!$F$7:$F$9</c:f>
              <c:numCache>
                <c:formatCode>General</c:formatCode>
                <c:ptCount val="3"/>
                <c:pt idx="1">
                  <c:v>21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BBB59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F2F2F2">
                        <a:lumMod val="9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'[人员.xls]水库移民 (2)'!$E$7:$E$9</c:f>
              <c:strCache>
                <c:ptCount val="3"/>
                <c:pt idx="0">
                  <c:v>2025年政府信息公开情况</c:v>
                </c:pt>
                <c:pt idx="1">
                  <c:v>公示</c:v>
                </c:pt>
                <c:pt idx="2">
                  <c:v>通告</c:v>
                </c:pt>
              </c:strCache>
            </c:strRef>
          </c:cat>
          <c:val>
            <c:numRef>
              <c:f>'[人员.xls]水库移民 (2)'!$G$7:$G$9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/>
      <c:overlay val="0"/>
      <c:spPr>
        <a:solidFill>
          <a:srgbClr val="A5A5A5">
            <a:lumMod val="75000"/>
          </a:srgbClr>
        </a:solidFill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rgbClr val="F2F2F2">
                  <a:lumMod val="9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1F497D">
        <a:lumMod val="60000"/>
        <a:lumOff val="40000"/>
      </a:srgbClr>
    </a:solidFill>
    <a:ln w="9525" cap="flat" cmpd="sng" algn="ctr">
      <a:noFill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rgbClr val="F2F2F2">
              <a:lumMod val="95000"/>
            </a:srgbClr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rgbClr val="FFFFFF"/>
      </a:solidFill>
      <a:gradFill rotWithShape="1">
        <a:gsLst>
          <a:gs pos="0">
            <a:srgbClr val="FFFFFF">
              <a:lumMod val="110000"/>
              <a:satMod val="105000"/>
              <a:tint val="67000"/>
            </a:srgbClr>
          </a:gs>
          <a:gs pos="50000">
            <a:srgbClr val="FFFFFF">
              <a:lumMod val="105000"/>
              <a:satMod val="103000"/>
              <a:tint val="73000"/>
            </a:srgbClr>
          </a:gs>
          <a:gs pos="100000">
            <a:srgbClr val="FFFFFF">
              <a:lumMod val="105000"/>
              <a:satMod val="109000"/>
              <a:tint val="81000"/>
            </a:srgbClr>
          </a:gs>
        </a:gsLst>
        <a:lin ang="5400000" scaled="0"/>
      </a:gradFill>
      <a:gradFill rotWithShape="1">
        <a:gsLst>
          <a:gs pos="0">
            <a:srgbClr val="FFFFFF">
              <a:satMod val="103000"/>
              <a:lumMod val="102000"/>
              <a:tint val="94000"/>
            </a:srgbClr>
          </a:gs>
          <a:gs pos="50000">
            <a:srgbClr val="FFFFFF">
              <a:satMod val="110000"/>
              <a:lumMod val="100000"/>
              <a:shade val="100000"/>
            </a:srgbClr>
          </a:gs>
          <a:gs pos="100000">
            <a:srgbClr val="E2E2E2">
              <a:lumMod val="99000"/>
              <a:satMod val="120000"/>
              <a:shade val="78000"/>
            </a:srgbClr>
          </a:gs>
        </a:gsLst>
        <a:lin ang="5400000" scaled="0"/>
      </a:gradFill>
    </a:fillStyleLst>
    <a:lnStyleLst>
      <a:ln w="6350" cap="flat" cmpd="sng" algn="ctr">
        <a:solidFill>
          <a:srgbClr val="FFFFFF"/>
        </a:solidFill>
        <a:prstDash val="solid"/>
        <a:miter lim="800000"/>
      </a:ln>
      <a:ln w="12700" cap="flat" cmpd="sng" algn="ctr">
        <a:solidFill>
          <a:srgbClr val="FFFFFF"/>
        </a:solidFill>
        <a:prstDash val="solid"/>
        <a:miter lim="800000"/>
      </a:ln>
      <a:ln w="19050" cap="flat" cmpd="sng" algn="ctr">
        <a:solidFill>
          <a:srgbClr val="FFFFFF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rgbClr val="FFFFFF"/>
      </a:solidFill>
      <a:solidFill>
        <a:srgbClr val="FFFFFF">
          <a:tint val="95000"/>
          <a:satMod val="170000"/>
        </a:srgbClr>
      </a:solidFill>
      <a:gradFill rotWithShape="1">
        <a:gsLst>
          <a:gs pos="0">
            <a:srgbClr val="FFFFFF">
              <a:tint val="93000"/>
              <a:satMod val="150000"/>
              <a:shade val="98000"/>
              <a:lumMod val="102000"/>
            </a:srgbClr>
          </a:gs>
          <a:gs pos="50000">
            <a:srgbClr val="FBFBFB">
              <a:tint val="98000"/>
              <a:satMod val="130000"/>
              <a:shade val="90000"/>
              <a:lumMod val="103000"/>
            </a:srgbClr>
          </a:gs>
          <a:gs pos="100000">
            <a:srgbClr val="D0D0D0">
              <a:shade val="63000"/>
              <a:satMod val="120000"/>
            </a:srgb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2</TotalTime>
  <ScaleCrop>false</ScaleCrop>
  <LinksUpToDate>false</LinksUpToDate>
  <CharactersWithSpaces>1444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AAAA    通化小林配件批发</cp:lastModifiedBy>
  <cp:lastPrinted>2021-01-14T07:20:00Z</cp:lastPrinted>
  <dcterms:modified xsi:type="dcterms:W3CDTF">2026-01-05T01:22:54Z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97FEFCB10DA14C8C9B7E747115EE5E50</vt:lpwstr>
  </property>
</Properties>
</file>