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年度政府信息公开工作报告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2025年，本单位深入贯彻落实《中华人民共和国政府信息公开条例》及国家、省、市关于政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公开工作的决策部署，坚持以人民为中心，紧扣中心工作和民生需求，扎实推进主动公开、依申请公开、平台建设等重点任务，持续提升政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公开标准化、规范化水平，为提升治理效能、优化营商环境提供了有力支撑。现对202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年度政府信息公开工作情况进行了全面总结，对明年工作安排进行了认真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计划及安排</w:t>
      </w:r>
      <w:r>
        <w:rPr>
          <w:rFonts w:hint="eastAsia" w:ascii="宋体" w:hAnsi="宋体" w:eastAsia="宋体" w:cs="宋体"/>
          <w:sz w:val="24"/>
          <w:szCs w:val="24"/>
        </w:rPr>
        <w:t>。报告中所列数据统计期限为2025年1月1日至2025年12月31日。</w:t>
      </w:r>
    </w:p>
    <w:p>
      <w:pPr>
        <w:spacing w:line="6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现将有关情况报告公布如下：</w:t>
      </w:r>
    </w:p>
    <w:p>
      <w:pPr>
        <w:spacing w:line="600" w:lineRule="exact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一、总体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概</w:t>
      </w:r>
      <w:r>
        <w:rPr>
          <w:rFonts w:hint="eastAsia" w:ascii="宋体" w:hAnsi="宋体" w:eastAsia="宋体" w:cs="宋体"/>
          <w:b/>
          <w:sz w:val="24"/>
          <w:szCs w:val="24"/>
        </w:rPr>
        <w:t>况</w:t>
      </w:r>
    </w:p>
    <w:p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本单位</w:t>
      </w:r>
      <w:r>
        <w:rPr>
          <w:rFonts w:hint="eastAsia" w:ascii="宋体" w:hAnsi="宋体" w:eastAsia="宋体" w:cs="宋体"/>
          <w:sz w:val="24"/>
          <w:szCs w:val="24"/>
        </w:rPr>
        <w:t>深入贯彻落实《条例》及上级关于政府信息公开工作的决策部署，坚持以公开为常态、不公开为例外，围绕中心工作和群众关切，扎实推进政府信息公开各项工作，不断提升公开质量和实效。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组织推动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本单位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政府信息公开工作：</w:t>
      </w:r>
      <w:r>
        <w:rPr>
          <w:rFonts w:hint="eastAsia" w:ascii="宋体" w:hAnsi="宋体" w:eastAsia="宋体" w:cs="宋体"/>
          <w:sz w:val="24"/>
          <w:szCs w:val="24"/>
        </w:rPr>
        <w:t>健全工作机制，成立以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主管</w:t>
      </w:r>
      <w:r>
        <w:rPr>
          <w:rFonts w:hint="eastAsia" w:ascii="宋体" w:hAnsi="宋体" w:eastAsia="宋体" w:cs="宋体"/>
          <w:sz w:val="24"/>
          <w:szCs w:val="24"/>
        </w:rPr>
        <w:t>领导为组长的政府信息公开工作领导小组，定期召开专题会议研究部署工作，明确各部门职责分工，形成齐抓共管的工作格局。全年组织开展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多次</w:t>
      </w:r>
      <w:r>
        <w:rPr>
          <w:rFonts w:hint="eastAsia" w:ascii="宋体" w:hAnsi="宋体" w:eastAsia="宋体" w:cs="宋体"/>
          <w:sz w:val="24"/>
          <w:szCs w:val="24"/>
        </w:rPr>
        <w:t>业务培训，提升工作人员专业能力。确保政府信息公开全面、准确、及时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全面梳理政府信息，涵盖政策法规、行政决策、优化政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公开平台，确保信息发布及时、便捷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确保公开工作落实到位。</w:t>
      </w:r>
    </w:p>
    <w:p>
      <w:pPr>
        <w:spacing w:line="600" w:lineRule="exact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）积极推动政府信息主动公开：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聚焦重点领域（如财政预决算、重大项目建设、民生保障等），优化公开渠道，通过政府门户网站、政务新媒体、政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服务大厅等平台，及时、准确发布各类政府信息。</w:t>
      </w:r>
      <w:r>
        <w:rPr>
          <w:rFonts w:hint="eastAsia" w:ascii="宋体" w:hAnsi="宋体" w:eastAsia="宋体" w:cs="宋体"/>
          <w:sz w:val="24"/>
          <w:szCs w:val="24"/>
        </w:rPr>
        <w:t>搭建政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公开平台，优化网站功能，实现信息及时更新。通过线上线下渠道，积极引导公众参与政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公开。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 认真规范处理依申请公开：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建立健全依申请公开受理、审查、办理、答复全流程工作规范，优化办理流程，提升答复效率和质量。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 不断强化政府信息公开平台内容保障：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对政府门户网站信息公开专栏进行优化升级，完善栏目设置，提升平台易用性和检索功能；加强政务新媒体运营管理，确保发布信息权威、及时、规范加强人员培训，提升业务能力。强化技术支撑，确保平台稳定运行。完善信息公开制度，确保工作有章可循。</w:t>
      </w:r>
    </w:p>
    <w:p>
      <w:pPr>
        <w:spacing w:line="600" w:lineRule="exact"/>
        <w:ind w:firstLine="482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 全力做好宣传培训评估考核等基础工作：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通过线上线下相结合的方式，开展政府信息公开宣传活动，提升群众对政府信息公开工作的知晓度和参与度；</w:t>
      </w:r>
      <w:r>
        <w:rPr>
          <w:rFonts w:hint="eastAsia" w:ascii="宋体" w:hAnsi="宋体" w:eastAsia="宋体" w:cs="宋体"/>
          <w:sz w:val="24"/>
          <w:szCs w:val="24"/>
        </w:rPr>
        <w:t>制定政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公开工作方案，明确工作目标和任务。建立健全政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公开工作制度，明确责任分工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,定期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对各部门工作开展情况进行定期督查和评估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>
      <w:pPr>
        <w:spacing w:line="60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</w:t>
      </w:r>
      <w:r>
        <w:rPr>
          <w:rFonts w:ascii="宋体" w:hAnsi="宋体" w:eastAsia="宋体" w:cs="宋体"/>
          <w:b/>
          <w:sz w:val="24"/>
          <w:szCs w:val="24"/>
        </w:rPr>
        <w:t>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年政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b/>
          <w:sz w:val="24"/>
          <w:szCs w:val="24"/>
        </w:rPr>
        <w:t>公开实际情况如下：</w:t>
      </w:r>
    </w:p>
    <w:p>
      <w:pPr>
        <w:spacing w:line="600" w:lineRule="exact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年，区农业农村局认真贯彻落实《中华人民共和国政府信息公开条例》和政府统一部署，认真学习政府信息公开条例，落实政府信息公开制度，扎实做好政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信息公开工作，切实保障人民群众的知情权、参与权、监督权和表达权，严格遵守政府信息公开发布审核制度，上传的文件由领导严格把关，审核通过后方可发布，确保了信息公开的合法性、准确性、及时性。截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2025年12月31日</w:t>
      </w:r>
      <w:r>
        <w:rPr>
          <w:rFonts w:hint="eastAsia" w:ascii="宋体" w:hAnsi="宋体" w:eastAsia="宋体" w:cs="宋体"/>
          <w:sz w:val="24"/>
          <w:szCs w:val="24"/>
        </w:rPr>
        <w:t>，主动公开信息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个，其中，公示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个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告1</w:t>
      </w:r>
      <w:r>
        <w:rPr>
          <w:rFonts w:hint="eastAsia" w:ascii="宋体" w:hAnsi="宋体" w:eastAsia="宋体" w:cs="宋体"/>
          <w:sz w:val="24"/>
          <w:szCs w:val="24"/>
        </w:rPr>
        <w:t>个.</w:t>
      </w:r>
    </w:p>
    <w:p>
      <w:pPr>
        <w:pStyle w:val="2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495925" cy="2649220"/>
            <wp:effectExtent l="0" t="0" r="9525" b="5588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3" w:colLast="1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bookmarkEnd w:id="0"/>
    </w:tbl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2025年政府公开工作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（一）存在的主要问题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公开内容深度不足：部分领域信息公开不够细化，重点领域信息公开的针对性和实效性有待提升，对群众关心的热点难点问题回应不够及时全面。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公开渠道建设不均衡：政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府</w:t>
      </w:r>
      <w:r>
        <w:rPr>
          <w:rFonts w:hint="eastAsia" w:ascii="宋体" w:hAnsi="宋体" w:eastAsia="宋体" w:cs="宋体"/>
          <w:sz w:val="24"/>
          <w:szCs w:val="24"/>
        </w:rPr>
        <w:t>新媒体运营水平参差不齐，部分平台互动性不足，线下查阅点的服务能力和覆盖面有待拓展。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工作人员能力有待提升：部分工作人员对《条例》理解不够深入，业务操作不够规范，依申请公开办理效率和答复质量仍有提升空间。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（二）改进措施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深化公开内容：聚焦群众关切和重点工作，进一步细化重点领域信息公开目录，推动财政资金、公共资源配置、聚焦民生保障、社会公益事业等领域信息公开更具体、更深入；细化公开内容，推动政策落地效果公开，补齐基层公开短板。建立热点问题快速回应机制，及时发布权威信息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优化公开渠道：加强政务新媒体矩阵建设，统一运营标准，提升内容原创性和互动性；完善线下查阅点设施配备，扩大查阅点覆盖范围，为群众提供更便捷的信息查阅服务。</w:t>
      </w:r>
    </w:p>
    <w:p>
      <w:pPr>
        <w:numPr>
          <w:ilvl w:val="0"/>
          <w:numId w:val="2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解读《条例》及相关政策，提升工作人员的业务素养和实操能力；建立依申请公开办理质量评查机制，定期对答复文书进行审核，规范办理流程。</w:t>
      </w:r>
    </w:p>
    <w:p>
      <w:pPr>
        <w:pStyle w:val="2"/>
        <w:rPr>
          <w:rFonts w:hint="eastAsia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优化平台服务：升级公开平台检索功能，拓展新媒体互动渠道，完善依申请公开数字化管理，提升公众获取信息的便捷度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其他需要报告的事项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 无其他需要特殊报告的事项。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/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05ECA"/>
    <w:multiLevelType w:val="singleLevel"/>
    <w:tmpl w:val="4AB05ECA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DB00943"/>
    <w:rsid w:val="1F4E26E0"/>
    <w:rsid w:val="21463587"/>
    <w:rsid w:val="243F343F"/>
    <w:rsid w:val="2AFE7BEA"/>
    <w:rsid w:val="2B25609B"/>
    <w:rsid w:val="2BC71311"/>
    <w:rsid w:val="2C742499"/>
    <w:rsid w:val="2F560859"/>
    <w:rsid w:val="31C902D1"/>
    <w:rsid w:val="345E7490"/>
    <w:rsid w:val="34707FB0"/>
    <w:rsid w:val="3520663D"/>
    <w:rsid w:val="36047058"/>
    <w:rsid w:val="393E5745"/>
    <w:rsid w:val="3B291E3A"/>
    <w:rsid w:val="3B2A773A"/>
    <w:rsid w:val="3BA453BA"/>
    <w:rsid w:val="3E620C74"/>
    <w:rsid w:val="3ED76D58"/>
    <w:rsid w:val="400E44FB"/>
    <w:rsid w:val="447A2C0A"/>
    <w:rsid w:val="450C3AC5"/>
    <w:rsid w:val="475F2BD8"/>
    <w:rsid w:val="49181DCF"/>
    <w:rsid w:val="49B52886"/>
    <w:rsid w:val="4A02676F"/>
    <w:rsid w:val="4BCC7E94"/>
    <w:rsid w:val="51D907C9"/>
    <w:rsid w:val="524F43BC"/>
    <w:rsid w:val="566E7FEE"/>
    <w:rsid w:val="56B07488"/>
    <w:rsid w:val="5F4961A1"/>
    <w:rsid w:val="608B5AEC"/>
    <w:rsid w:val="612566FC"/>
    <w:rsid w:val="61382CF4"/>
    <w:rsid w:val="657F1CFC"/>
    <w:rsid w:val="68EE3DB7"/>
    <w:rsid w:val="69912B2A"/>
    <w:rsid w:val="6DA66DF4"/>
    <w:rsid w:val="6FB026B2"/>
    <w:rsid w:val="6FB90FDA"/>
    <w:rsid w:val="70E7254E"/>
    <w:rsid w:val="71917722"/>
    <w:rsid w:val="72544ACF"/>
    <w:rsid w:val="74484734"/>
    <w:rsid w:val="792539DA"/>
    <w:rsid w:val="79F53FD4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D:\Users\Desktop\&#20020;&#26102;\&#20154;&#2159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1" i="0" u="none" strike="noStrike" kern="1200" spc="0" baseline="0">
                <a:solidFill>
                  <a:srgbClr val="F2F2F2">
                    <a:lumMod val="9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800">
                <a:solidFill>
                  <a:srgbClr val="31859C">
                    <a:lumMod val="75000"/>
                  </a:srgbClr>
                </a:solidFill>
                <a:uFillTx/>
                <a:latin typeface="楷体_GB2312" panose="02010609030101010101" charset="-122"/>
                <a:ea typeface="楷体_GB2312" panose="02010609030101010101" charset="-122"/>
              </a:rPr>
              <a:t>2025</a:t>
            </a:r>
            <a:r>
              <a:rPr altLang="en-US" sz="1800">
                <a:solidFill>
                  <a:srgbClr val="31859C">
                    <a:lumMod val="75000"/>
                  </a:srgbClr>
                </a:solidFill>
                <a:uFillTx/>
                <a:latin typeface="楷体_GB2312" panose="02010609030101010101" charset="-122"/>
                <a:ea typeface="楷体_GB2312" panose="02010609030101010101" charset="-122"/>
              </a:rPr>
              <a:t>年政府信息公开情况</a:t>
            </a:r>
            <a:endParaRPr lang="en-US" altLang="en-US" sz="1800">
              <a:solidFill>
                <a:srgbClr val="31859C">
                  <a:lumMod val="75000"/>
                </a:srgbClr>
              </a:solidFill>
              <a:uFillTx/>
              <a:latin typeface="楷体_GB2312" panose="02010609030101010101" charset="-122"/>
              <a:ea typeface="楷体_GB2312" panose="02010609030101010101" charset="-122"/>
            </a:endParaRPr>
          </a:p>
        </c:rich>
      </c:tx>
      <c:layout>
        <c:manualLayout>
          <c:xMode val="edge"/>
          <c:yMode val="edge"/>
          <c:x val="0.221745378393992"/>
          <c:y val="0.008726003490401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FFC000"/>
            </a:solidFill>
            <a:ln w="19050">
              <a:noFill/>
            </a:ln>
            <a:effectLst>
              <a:outerShdw blurRad="38100" dist="50800" dir="2700000" algn="tl" rotWithShape="0">
                <a:prstClr val="black">
                  <a:alpha val="55000"/>
                </a:prstClr>
              </a:outerShdw>
            </a:effectLst>
          </c:spPr>
          <c:explosion val="0"/>
          <c:dPt>
            <c:idx val="0"/>
            <c:bubble3D val="0"/>
            <c:spPr>
              <a:solidFill>
                <a:srgbClr val="FFC000"/>
              </a:solidFill>
              <a:ln w="19050">
                <a:noFill/>
              </a:ln>
              <a:effectLst>
                <a:outerShdw blurRad="38100" dist="50800" dir="2700000" algn="tl" rotWithShape="0">
                  <a:prstClr val="black">
                    <a:alpha val="55000"/>
                  </a:prstClr>
                </a:outerShdw>
              </a:effectLst>
            </c:spPr>
          </c:dPt>
          <c:dPt>
            <c:idx val="1"/>
            <c:bubble3D val="0"/>
            <c:explosion val="6"/>
            <c:spPr>
              <a:solidFill>
                <a:srgbClr val="FFC000"/>
              </a:solidFill>
              <a:ln w="19050">
                <a:noFill/>
              </a:ln>
              <a:effectLst>
                <a:outerShdw blurRad="38100" dist="50800" dir="2700000" algn="tl" rotWithShape="0">
                  <a:prstClr val="black">
                    <a:alpha val="5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rgbClr val="C0504D">
                  <a:lumMod val="60000"/>
                  <a:lumOff val="40000"/>
                </a:srgbClr>
              </a:solidFill>
              <a:ln w="19050">
                <a:noFill/>
              </a:ln>
              <a:effectLst>
                <a:outerShdw blurRad="38100" dist="50800" dir="2700000" algn="tl" rotWithShape="0">
                  <a:prstClr val="black">
                    <a:alpha val="55000"/>
                  </a:prstClr>
                </a:out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F2F2F2">
                        <a:lumMod val="9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'[人员.xls]水库移民 (2)'!$E$7:$E$9</c:f>
              <c:strCache>
                <c:ptCount val="3"/>
                <c:pt idx="0">
                  <c:v>2025年政府信息公开情况</c:v>
                </c:pt>
                <c:pt idx="1">
                  <c:v>公示</c:v>
                </c:pt>
                <c:pt idx="2">
                  <c:v>通告</c:v>
                </c:pt>
              </c:strCache>
            </c:strRef>
          </c:cat>
          <c:val>
            <c:numRef>
              <c:f>'[人员.xls]水库移民 (2)'!$F$7:$F$9</c:f>
              <c:numCache>
                <c:formatCode>General</c:formatCode>
                <c:ptCount val="3"/>
                <c:pt idx="1">
                  <c:v>21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9BBB59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F2F2F2">
                        <a:lumMod val="9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'[人员.xls]水库移民 (2)'!$E$7:$E$9</c:f>
              <c:strCache>
                <c:ptCount val="3"/>
                <c:pt idx="0">
                  <c:v>2025年政府信息公开情况</c:v>
                </c:pt>
                <c:pt idx="1">
                  <c:v>公示</c:v>
                </c:pt>
                <c:pt idx="2">
                  <c:v>通告</c:v>
                </c:pt>
              </c:strCache>
            </c:strRef>
          </c:cat>
          <c:val>
            <c:numRef>
              <c:f>'[人员.xls]水库移民 (2)'!$G$7:$G$9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/>
      <c:overlay val="0"/>
      <c:spPr>
        <a:solidFill>
          <a:srgbClr val="A5A5A5">
            <a:lumMod val="75000"/>
          </a:srgbClr>
        </a:solidFill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rgbClr val="F2F2F2">
                  <a:lumMod val="9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1F497D">
        <a:lumMod val="60000"/>
        <a:lumOff val="40000"/>
      </a:srgbClr>
    </a:solidFill>
    <a:ln w="9525" cap="flat" cmpd="sng" algn="ctr">
      <a:noFill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rgbClr val="F2F2F2">
              <a:lumMod val="95000"/>
            </a:srgbClr>
          </a:solidFill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rgbClr val="FFFFFF"/>
      </a:solidFill>
      <a:gradFill rotWithShape="1">
        <a:gsLst>
          <a:gs pos="0">
            <a:srgbClr val="FFFFFF">
              <a:lumMod val="110000"/>
              <a:satMod val="105000"/>
              <a:tint val="67000"/>
            </a:srgbClr>
          </a:gs>
          <a:gs pos="50000">
            <a:srgbClr val="FFFFFF">
              <a:lumMod val="105000"/>
              <a:satMod val="103000"/>
              <a:tint val="73000"/>
            </a:srgbClr>
          </a:gs>
          <a:gs pos="100000">
            <a:srgbClr val="FFFFFF">
              <a:lumMod val="105000"/>
              <a:satMod val="109000"/>
              <a:tint val="81000"/>
            </a:srgbClr>
          </a:gs>
        </a:gsLst>
        <a:lin ang="5400000" scaled="0"/>
      </a:gradFill>
      <a:gradFill rotWithShape="1">
        <a:gsLst>
          <a:gs pos="0">
            <a:srgbClr val="FFFFFF">
              <a:satMod val="103000"/>
              <a:lumMod val="102000"/>
              <a:tint val="94000"/>
            </a:srgbClr>
          </a:gs>
          <a:gs pos="50000">
            <a:srgbClr val="FFFFFF">
              <a:satMod val="110000"/>
              <a:lumMod val="100000"/>
              <a:shade val="100000"/>
            </a:srgbClr>
          </a:gs>
          <a:gs pos="100000">
            <a:srgbClr val="E2E2E2">
              <a:lumMod val="99000"/>
              <a:satMod val="120000"/>
              <a:shade val="78000"/>
            </a:srgbClr>
          </a:gs>
        </a:gsLst>
        <a:lin ang="5400000" scaled="0"/>
      </a:gradFill>
    </a:fillStyleLst>
    <a:lnStyleLst>
      <a:ln w="6350" cap="flat" cmpd="sng" algn="ctr">
        <a:solidFill>
          <a:srgbClr val="FFFFFF"/>
        </a:solidFill>
        <a:prstDash val="solid"/>
        <a:miter lim="800000"/>
      </a:ln>
      <a:ln w="12700" cap="flat" cmpd="sng" algn="ctr">
        <a:solidFill>
          <a:srgbClr val="FFFFFF"/>
        </a:solidFill>
        <a:prstDash val="solid"/>
        <a:miter lim="800000"/>
      </a:ln>
      <a:ln w="19050" cap="flat" cmpd="sng" algn="ctr">
        <a:solidFill>
          <a:srgbClr val="FFFFFF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rgbClr val="FFFFFF"/>
      </a:solidFill>
      <a:solidFill>
        <a:srgbClr val="FFFFFF">
          <a:tint val="95000"/>
          <a:satMod val="170000"/>
        </a:srgbClr>
      </a:solidFill>
      <a:gradFill rotWithShape="1">
        <a:gsLst>
          <a:gs pos="0">
            <a:srgbClr val="FFFFFF">
              <a:tint val="93000"/>
              <a:satMod val="150000"/>
              <a:shade val="98000"/>
              <a:lumMod val="102000"/>
            </a:srgbClr>
          </a:gs>
          <a:gs pos="50000">
            <a:srgbClr val="FBFBFB">
              <a:tint val="98000"/>
              <a:satMod val="130000"/>
              <a:shade val="90000"/>
              <a:lumMod val="103000"/>
            </a:srgbClr>
          </a:gs>
          <a:gs pos="100000">
            <a:srgbClr val="D0D0D0">
              <a:shade val="63000"/>
              <a:satMod val="120000"/>
            </a:srgb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1231</Characters>
  <Lines>10</Lines>
  <Paragraphs>2</Paragraphs>
  <TotalTime>0</TotalTime>
  <ScaleCrop>false</ScaleCrop>
  <LinksUpToDate>false</LinksUpToDate>
  <CharactersWithSpaces>1444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AAAA    通化小林配件批发</cp:lastModifiedBy>
  <cp:lastPrinted>2021-01-14T07:20:00Z</cp:lastPrinted>
  <dcterms:modified xsi:type="dcterms:W3CDTF">2026-01-27T02:11:25Z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97FEFCB10DA14C8C9B7E747115EE5E50</vt:lpwstr>
  </property>
</Properties>
</file>